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AF4D" w14:textId="28331EEA" w:rsidR="00971448" w:rsidRDefault="004C2883" w:rsidP="004C2883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22.05.2022</w:t>
      </w:r>
    </w:p>
    <w:p w14:paraId="4C35CC47" w14:textId="51A5FC9C" w:rsidR="004C2883" w:rsidRDefault="004C2883" w:rsidP="004C2883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מכרז מס. 01/22 להפעלת ביה"ס רב תחומי זרזיר </w:t>
      </w:r>
    </w:p>
    <w:p w14:paraId="67D8BF3E" w14:textId="012D8DCF" w:rsidR="004C2883" w:rsidRDefault="004C2883" w:rsidP="004C2883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</w:p>
    <w:p w14:paraId="4BA60156" w14:textId="25ED5D4C" w:rsidR="004C2883" w:rsidRDefault="004C2883" w:rsidP="004C2883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סכום ועדת מכרזים </w:t>
      </w:r>
    </w:p>
    <w:p w14:paraId="1E20EB7A" w14:textId="631440FA" w:rsidR="004C2883" w:rsidRDefault="004C2883" w:rsidP="004C2883">
      <w:pPr>
        <w:rPr>
          <w:b/>
          <w:bCs/>
          <w:i/>
          <w:iCs/>
          <w:sz w:val="28"/>
          <w:szCs w:val="28"/>
          <w:u w:val="single"/>
          <w:rtl/>
        </w:rPr>
      </w:pPr>
      <w:r w:rsidRPr="004C2883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 הוועדה </w:t>
      </w:r>
    </w:p>
    <w:p w14:paraId="1B0D9EC0" w14:textId="2B81E6A8" w:rsidR="004C2883" w:rsidRDefault="004C2883" w:rsidP="004C2883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יו"ר הועדה</w:t>
      </w:r>
    </w:p>
    <w:p w14:paraId="317A7DA5" w14:textId="6A1574BF" w:rsidR="004C2883" w:rsidRDefault="004C2883" w:rsidP="004C2883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</w:p>
    <w:p w14:paraId="542CBA4C" w14:textId="35617275" w:rsidR="004C2883" w:rsidRDefault="004C2883" w:rsidP="004C2883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פתחי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7670BC01" w14:textId="0368A5E6" w:rsidR="004C2883" w:rsidRDefault="004C2883" w:rsidP="004C2883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60B127CB" w14:textId="4F49A0D4" w:rsidR="004C2883" w:rsidRDefault="004C2883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לאחר הראיונות של נציגי שתי הרשתות המציעות , הועברה חוות הדעת של היועץ </w:t>
      </w:r>
      <w:r w:rsidR="006D2783">
        <w:rPr>
          <w:rFonts w:hint="cs"/>
          <w:sz w:val="28"/>
          <w:szCs w:val="28"/>
          <w:rtl/>
        </w:rPr>
        <w:t>של המכרז , מר רון פישמן לרבות הניקוד שנעשה בידי הוועדה המייעצת אשר נקדה עפ"י קריטריונים שנקבעו במכרז ע"י משרד החינוך .</w:t>
      </w:r>
    </w:p>
    <w:p w14:paraId="56ABC838" w14:textId="119C533F" w:rsidR="006D2783" w:rsidRDefault="006D2783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בנקוד יצא </w:t>
      </w:r>
      <w:r w:rsidR="00AF62BF">
        <w:rPr>
          <w:rFonts w:hint="cs"/>
          <w:sz w:val="28"/>
          <w:szCs w:val="28"/>
          <w:rtl/>
        </w:rPr>
        <w:t>ששלושה מן הסעיפים שווים בין שני המציעים ובשני הסעיפים האחרונים קיים שוני זעיר (הפרש של פחות משתי נקודות ) : עמל : 74.86 נקודות , מכללת סכנין : 72.02 נקודות .</w:t>
      </w:r>
    </w:p>
    <w:p w14:paraId="35324991" w14:textId="6DC83BC7" w:rsidR="00AF62BF" w:rsidRDefault="00AF62BF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חברי ועדת מכרזים , פונים ליועמ"ש הרשות 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אשר היה בזום בשאלה הבאה : - האם ועדת המכרזים מחויבת לקבל את הנקוד של הוועדה המקצועית ?</w:t>
      </w:r>
    </w:p>
    <w:p w14:paraId="35AA270C" w14:textId="6977B5AB" w:rsidR="00AF62BF" w:rsidRDefault="00AF62BF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230485">
        <w:rPr>
          <w:rFonts w:hint="cs"/>
          <w:sz w:val="28"/>
          <w:szCs w:val="28"/>
          <w:rtl/>
        </w:rPr>
        <w:t xml:space="preserve">צרף אליו בזום את עו"ד דוד רניה שהינו יועץ למכרז ושאל </w:t>
      </w:r>
      <w:proofErr w:type="spellStart"/>
      <w:r w:rsidR="00230485">
        <w:rPr>
          <w:rFonts w:hint="cs"/>
          <w:sz w:val="28"/>
          <w:szCs w:val="28"/>
          <w:rtl/>
        </w:rPr>
        <w:t>אותואת</w:t>
      </w:r>
      <w:proofErr w:type="spellEnd"/>
      <w:r w:rsidR="00230485">
        <w:rPr>
          <w:rFonts w:hint="cs"/>
          <w:sz w:val="28"/>
          <w:szCs w:val="28"/>
          <w:rtl/>
        </w:rPr>
        <w:t xml:space="preserve"> השאלה של חברי ועדת מכרזים .</w:t>
      </w:r>
    </w:p>
    <w:p w14:paraId="30815B2E" w14:textId="7765E9CA" w:rsidR="00230485" w:rsidRDefault="00230485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שני עוה"ד ענו שהועדה יכולה להפעיל את שיקול דעתה ואיה חייבת לציית לניקוד של הועדה המקצועית .</w:t>
      </w:r>
      <w:r w:rsidR="002D6915">
        <w:rPr>
          <w:rFonts w:hint="cs"/>
          <w:sz w:val="28"/>
          <w:szCs w:val="28"/>
          <w:rtl/>
        </w:rPr>
        <w:t xml:space="preserve"> ועדת המכרזים , הינה עצמאית , יכולה להמליץ לפי שיקול דעתה המקצועית והתרשמותה מהרשתות המציעות .</w:t>
      </w:r>
    </w:p>
    <w:p w14:paraId="1BC6E62B" w14:textId="4DD27008" w:rsidR="002D6915" w:rsidRDefault="002D6915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להלן הפרמטרים שנלקחו בחשבון למכרז :</w:t>
      </w:r>
    </w:p>
    <w:p w14:paraId="1D20C836" w14:textId="6CDE007A" w:rsidR="002D6915" w:rsidRDefault="002D6915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ניסיון : 10 נקודות</w:t>
      </w:r>
    </w:p>
    <w:p w14:paraId="1BC533B2" w14:textId="67249362" w:rsidR="002D6915" w:rsidRDefault="002D6915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מלכ"ר: 5 נקודות </w:t>
      </w:r>
    </w:p>
    <w:p w14:paraId="01371469" w14:textId="79BFDB9E" w:rsidR="002D6915" w:rsidRDefault="002D6915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תמונות חינוכיות : 50 נקודה</w:t>
      </w:r>
    </w:p>
    <w:p w14:paraId="50592E10" w14:textId="7E0F1749" w:rsidR="002D6915" w:rsidRDefault="002D6915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שיקול דעת ועדה מייעצת : 20 נקודות </w:t>
      </w:r>
    </w:p>
    <w:p w14:paraId="23FD571D" w14:textId="03517E4F" w:rsidR="002D6915" w:rsidRDefault="002D6915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השקעה + תקורה : 15 נקודות </w:t>
      </w:r>
    </w:p>
    <w:p w14:paraId="68675CFC" w14:textId="1975028B" w:rsidR="002D6915" w:rsidRDefault="002D6915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</w:t>
      </w:r>
    </w:p>
    <w:p w14:paraId="38EF427F" w14:textId="751DB14D" w:rsidR="002D6915" w:rsidRDefault="002D6915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סה"כ : 100 נקודות </w:t>
      </w:r>
    </w:p>
    <w:p w14:paraId="0F27C3EC" w14:textId="2B729DFB" w:rsidR="002D6915" w:rsidRDefault="002D6915" w:rsidP="004C2883">
      <w:pPr>
        <w:rPr>
          <w:sz w:val="28"/>
          <w:szCs w:val="28"/>
          <w:rtl/>
        </w:rPr>
      </w:pPr>
    </w:p>
    <w:p w14:paraId="67237742" w14:textId="3C9A5262" w:rsidR="00FF020C" w:rsidRDefault="00FF020C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עפ"י חוות הדעת של היועץ רון פישמן כולל הנקוד של הועדה המייעצת  להלן התוצאות :</w:t>
      </w:r>
    </w:p>
    <w:p w14:paraId="07574F8C" w14:textId="62223E62" w:rsidR="00FF020C" w:rsidRDefault="00FF020C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רשת עמל קבלה : 74.86 </w:t>
      </w:r>
    </w:p>
    <w:p w14:paraId="56C01702" w14:textId="67C7E7FB" w:rsidR="00FF020C" w:rsidRDefault="00FF020C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רשת מכללת סכנין קבלה : 72.02 </w:t>
      </w:r>
    </w:p>
    <w:p w14:paraId="7B1B6577" w14:textId="6F870320" w:rsidR="00FF020C" w:rsidRDefault="00FF020C" w:rsidP="004C28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, יועמ"ש : במידה וחברי ועדת מכרזים לא מקבלים את ההמלצה של הועדה המייעצת , יכולים לנקד מחדש ולקבוע תוצאות סופיות </w:t>
      </w:r>
      <w:r w:rsidR="00F952BE">
        <w:rPr>
          <w:rFonts w:hint="cs"/>
          <w:sz w:val="28"/>
          <w:szCs w:val="28"/>
          <w:rtl/>
        </w:rPr>
        <w:t>.</w:t>
      </w:r>
    </w:p>
    <w:p w14:paraId="476EAE2A" w14:textId="1A7DB3D5" w:rsidR="00F952BE" w:rsidRDefault="00F952BE" w:rsidP="00F952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חברי ועדת המכרזים החליטו לערוך נקוד מחדש במקום הנקוד של הועדה המייעצת , הם קבלו טפסי נקוד חדשים לכל רשת טופס אחד לכל חבר </w:t>
      </w:r>
      <w:proofErr w:type="spellStart"/>
      <w:r>
        <w:rPr>
          <w:rFonts w:hint="cs"/>
          <w:sz w:val="28"/>
          <w:szCs w:val="28"/>
          <w:rtl/>
        </w:rPr>
        <w:t>בועדת</w:t>
      </w:r>
      <w:proofErr w:type="spellEnd"/>
      <w:r>
        <w:rPr>
          <w:rFonts w:hint="cs"/>
          <w:sz w:val="28"/>
          <w:szCs w:val="28"/>
          <w:rtl/>
        </w:rPr>
        <w:t xml:space="preserve"> המכרזים .</w:t>
      </w:r>
    </w:p>
    <w:p w14:paraId="6368A8DA" w14:textId="20EC045D" w:rsidR="00F952BE" w:rsidRDefault="00F952BE" w:rsidP="00F952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הועדה מר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אני מקבל את הנקוד של הועדה המייעצת ומקבל את חוות הדעת הכללית של היועץ רן פישמן </w:t>
      </w:r>
      <w:r w:rsidR="00DE7198">
        <w:rPr>
          <w:rFonts w:hint="cs"/>
          <w:sz w:val="28"/>
          <w:szCs w:val="28"/>
          <w:rtl/>
        </w:rPr>
        <w:t xml:space="preserve">, שאר חברי הועדה שהם , פתחי </w:t>
      </w:r>
      <w:proofErr w:type="spellStart"/>
      <w:r w:rsidR="00DE7198">
        <w:rPr>
          <w:rFonts w:hint="cs"/>
          <w:sz w:val="28"/>
          <w:szCs w:val="28"/>
          <w:rtl/>
        </w:rPr>
        <w:t>היב</w:t>
      </w:r>
      <w:proofErr w:type="spellEnd"/>
      <w:r w:rsidR="00DE7198">
        <w:rPr>
          <w:rFonts w:hint="cs"/>
          <w:sz w:val="28"/>
          <w:szCs w:val="28"/>
          <w:rtl/>
        </w:rPr>
        <w:t xml:space="preserve"> , יאסר </w:t>
      </w:r>
      <w:proofErr w:type="spellStart"/>
      <w:r w:rsidR="00DE7198">
        <w:rPr>
          <w:rFonts w:hint="cs"/>
          <w:sz w:val="28"/>
          <w:szCs w:val="28"/>
          <w:rtl/>
        </w:rPr>
        <w:t>היב</w:t>
      </w:r>
      <w:proofErr w:type="spellEnd"/>
      <w:r w:rsidR="00DE7198">
        <w:rPr>
          <w:rFonts w:hint="cs"/>
          <w:sz w:val="28"/>
          <w:szCs w:val="28"/>
          <w:rtl/>
        </w:rPr>
        <w:t xml:space="preserve"> </w:t>
      </w:r>
      <w:proofErr w:type="spellStart"/>
      <w:r w:rsidR="00DE7198">
        <w:rPr>
          <w:rFonts w:hint="cs"/>
          <w:sz w:val="28"/>
          <w:szCs w:val="28"/>
          <w:rtl/>
        </w:rPr>
        <w:t>וחאלחד</w:t>
      </w:r>
      <w:proofErr w:type="spellEnd"/>
      <w:r w:rsidR="00DE7198">
        <w:rPr>
          <w:rFonts w:hint="cs"/>
          <w:sz w:val="28"/>
          <w:szCs w:val="28"/>
          <w:rtl/>
        </w:rPr>
        <w:t xml:space="preserve"> </w:t>
      </w:r>
      <w:proofErr w:type="spellStart"/>
      <w:r w:rsidR="00DE7198">
        <w:rPr>
          <w:rFonts w:hint="cs"/>
          <w:sz w:val="28"/>
          <w:szCs w:val="28"/>
          <w:rtl/>
        </w:rPr>
        <w:t>גריפאת</w:t>
      </w:r>
      <w:proofErr w:type="spellEnd"/>
      <w:r w:rsidR="00DE7198">
        <w:rPr>
          <w:rFonts w:hint="cs"/>
          <w:sz w:val="28"/>
          <w:szCs w:val="28"/>
          <w:rtl/>
        </w:rPr>
        <w:t xml:space="preserve"> , נתנו נקוד שונה מהנקוד של הועדה המייעצת וזאת עפ"י התרשמותם בראיונות כאשר ראיינו את נציגי הרשתות המציעות .</w:t>
      </w:r>
    </w:p>
    <w:p w14:paraId="7CC57294" w14:textId="197031A3" w:rsidR="00F952BE" w:rsidRDefault="00F952BE" w:rsidP="00F952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לאחר שחברי ועדת מכרזים נקדו , העבירו את הניקוד למבקר פנים עו"ד </w:t>
      </w:r>
      <w:proofErr w:type="spellStart"/>
      <w:r>
        <w:rPr>
          <w:rFonts w:hint="cs"/>
          <w:sz w:val="28"/>
          <w:szCs w:val="28"/>
          <w:rtl/>
        </w:rPr>
        <w:t>ויסאם</w:t>
      </w:r>
      <w:proofErr w:type="spellEnd"/>
      <w:r>
        <w:rPr>
          <w:rFonts w:hint="cs"/>
          <w:sz w:val="28"/>
          <w:szCs w:val="28"/>
          <w:rtl/>
        </w:rPr>
        <w:t xml:space="preserve"> פלאח ולמנכ"ל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 לשקלל את התוצאות .</w:t>
      </w:r>
    </w:p>
    <w:p w14:paraId="002D097E" w14:textId="51F0A2C4" w:rsidR="00DE7198" w:rsidRDefault="00DE7198" w:rsidP="00F952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להלן הנקוד של ועדת המכרזים בשקלול הסופי : </w:t>
      </w:r>
    </w:p>
    <w:p w14:paraId="070C403C" w14:textId="17A1246E" w:rsidR="00DE7198" w:rsidRDefault="00DE7198" w:rsidP="00F952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רשת עמל : 9.8333 נקודות </w:t>
      </w:r>
    </w:p>
    <w:p w14:paraId="1BFF40AB" w14:textId="2DC8E477" w:rsidR="00DE7198" w:rsidRDefault="00DE7198" w:rsidP="00F952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רשת מכללת סכנין : 19.2333 נקודות </w:t>
      </w:r>
    </w:p>
    <w:p w14:paraId="0EF166D3" w14:textId="2F377F6F" w:rsidR="003D29D9" w:rsidRDefault="003D29D9" w:rsidP="00F952BE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החלטת ועדת המכרזים </w:t>
      </w:r>
    </w:p>
    <w:p w14:paraId="7F209F03" w14:textId="31E30502" w:rsidR="003D29D9" w:rsidRDefault="00B95962" w:rsidP="00F952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עפ"י תוצאות הניקוד של ברי ועדת המכרזים וע"פ תוצאות הנקוד הכללי שכולל ניקוד הועדה המקצועית וע"פ ה</w:t>
      </w:r>
      <w:r w:rsidR="005C1A4E">
        <w:rPr>
          <w:rFonts w:hint="cs"/>
          <w:sz w:val="28"/>
          <w:szCs w:val="28"/>
          <w:rtl/>
        </w:rPr>
        <w:t xml:space="preserve">תרשמות חברי הועדה מצטיין בארבעת הפרמטרים שנמדדו לפיהם המציעים ע"פ הנוהל </w:t>
      </w:r>
      <w:proofErr w:type="spellStart"/>
      <w:r w:rsidR="005C1A4E">
        <w:rPr>
          <w:rFonts w:hint="cs"/>
          <w:sz w:val="28"/>
          <w:szCs w:val="28"/>
          <w:rtl/>
        </w:rPr>
        <w:t>והקרטריונים</w:t>
      </w:r>
      <w:proofErr w:type="spellEnd"/>
      <w:r w:rsidR="005C1A4E">
        <w:rPr>
          <w:rFonts w:hint="cs"/>
          <w:sz w:val="28"/>
          <w:szCs w:val="28"/>
          <w:rtl/>
        </w:rPr>
        <w:t xml:space="preserve">  של משרד החינוך </w:t>
      </w:r>
      <w:proofErr w:type="spellStart"/>
      <w:r w:rsidR="005C1A4E">
        <w:rPr>
          <w:rFonts w:hint="cs"/>
          <w:sz w:val="28"/>
          <w:szCs w:val="28"/>
          <w:rtl/>
        </w:rPr>
        <w:t>ולאחרראיונות</w:t>
      </w:r>
      <w:proofErr w:type="spellEnd"/>
      <w:r w:rsidR="005C1A4E">
        <w:rPr>
          <w:rFonts w:hint="cs"/>
          <w:sz w:val="28"/>
          <w:szCs w:val="28"/>
          <w:rtl/>
        </w:rPr>
        <w:t xml:space="preserve"> המציעים התקיים פער בין התרשמות חברי ועדת המכרזים בחלקם הגדול לבין הניקוד של הועדה המקצועית ועל כן החלטנו </w:t>
      </w:r>
      <w:r w:rsidR="005C1A4E">
        <w:rPr>
          <w:rFonts w:hint="cs"/>
          <w:sz w:val="28"/>
          <w:szCs w:val="28"/>
          <w:rtl/>
        </w:rPr>
        <w:lastRenderedPageBreak/>
        <w:t>כחברי ועדת המכרזים לקיים ניקוד לפיו נקבל החלטה שונה חלקית מהמלצת הועדה המקצועית .</w:t>
      </w:r>
    </w:p>
    <w:p w14:paraId="6D43F038" w14:textId="51E792ED" w:rsidR="005C1A4E" w:rsidRDefault="005C1A4E" w:rsidP="00F952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מפיו של חבר וחבר ועדת המכרזים , מר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DE22E9">
        <w:rPr>
          <w:rFonts w:hint="cs"/>
          <w:sz w:val="28"/>
          <w:szCs w:val="28"/>
          <w:rtl/>
        </w:rPr>
        <w:t xml:space="preserve">: אני החלטתי לקבל את המלצת הוועדה המקצועית , כמו כן יש לציין שחבר ועדת המכרזים מר חאלד </w:t>
      </w:r>
      <w:proofErr w:type="spellStart"/>
      <w:r w:rsidR="00DE22E9">
        <w:rPr>
          <w:rFonts w:hint="cs"/>
          <w:sz w:val="28"/>
          <w:szCs w:val="28"/>
          <w:rtl/>
        </w:rPr>
        <w:t>גריפאת</w:t>
      </w:r>
      <w:proofErr w:type="spellEnd"/>
      <w:r w:rsidR="00DE22E9">
        <w:rPr>
          <w:rFonts w:hint="cs"/>
          <w:sz w:val="28"/>
          <w:szCs w:val="28"/>
          <w:rtl/>
        </w:rPr>
        <w:t xml:space="preserve"> נשמע אומר לי " אני הולך להצביע לסכנין "  , אך מפיו של חאלד </w:t>
      </w:r>
      <w:proofErr w:type="spellStart"/>
      <w:r w:rsidR="00DE22E9">
        <w:rPr>
          <w:rFonts w:hint="cs"/>
          <w:sz w:val="28"/>
          <w:szCs w:val="28"/>
          <w:rtl/>
        </w:rPr>
        <w:t>גריפאת</w:t>
      </w:r>
      <w:proofErr w:type="spellEnd"/>
      <w:r w:rsidR="00DE22E9">
        <w:rPr>
          <w:rFonts w:hint="cs"/>
          <w:sz w:val="28"/>
          <w:szCs w:val="28"/>
          <w:rtl/>
        </w:rPr>
        <w:t xml:space="preserve"> נאמר : " זה לא היה ולא נברא " " אני לא אמרתי דבר כזה " , למרות שאני חופשי בדעתי ונחוש ומקבל את ההחלטות שלי אך ורק מבחינה מקצועית וישרה .</w:t>
      </w:r>
    </w:p>
    <w:p w14:paraId="3BFC75F3" w14:textId="662DF495" w:rsidR="00DE22E9" w:rsidRDefault="00DE22E9" w:rsidP="00DE22E9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החלטה </w:t>
      </w:r>
    </w:p>
    <w:p w14:paraId="0C0CE873" w14:textId="2A544D06" w:rsidR="00DE22E9" w:rsidRDefault="00DE22E9" w:rsidP="00DE22E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כל חברי ועדת המכרזים </w:t>
      </w:r>
      <w:r w:rsidRPr="004F5BE1">
        <w:rPr>
          <w:rFonts w:hint="cs"/>
          <w:b/>
          <w:bCs/>
          <w:i/>
          <w:iCs/>
          <w:sz w:val="28"/>
          <w:szCs w:val="28"/>
          <w:u w:val="single"/>
          <w:rtl/>
        </w:rPr>
        <w:t>למעט</w:t>
      </w:r>
      <w:r w:rsidR="004F5BE1">
        <w:rPr>
          <w:rFonts w:hint="cs"/>
          <w:sz w:val="28"/>
          <w:szCs w:val="28"/>
          <w:rtl/>
        </w:rPr>
        <w:t xml:space="preserve"> </w:t>
      </w:r>
      <w:r w:rsidR="004F5BE1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 הועדה , מר סעיד </w:t>
      </w:r>
      <w:proofErr w:type="spellStart"/>
      <w:r w:rsidR="004F5BE1">
        <w:rPr>
          <w:rFonts w:hint="cs"/>
          <w:b/>
          <w:bCs/>
          <w:i/>
          <w:iCs/>
          <w:sz w:val="28"/>
          <w:szCs w:val="28"/>
          <w:u w:val="single"/>
          <w:rtl/>
        </w:rPr>
        <w:t>גריפאת</w:t>
      </w:r>
      <w:proofErr w:type="spellEnd"/>
      <w:r w:rsidR="004F5BE1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4F5BE1">
        <w:rPr>
          <w:rFonts w:hint="cs"/>
          <w:sz w:val="28"/>
          <w:szCs w:val="28"/>
          <w:rtl/>
        </w:rPr>
        <w:t xml:space="preserve"> ממליצים למסור את הפעלת בית הספר לרשת מכללת סכנין .</w:t>
      </w:r>
    </w:p>
    <w:p w14:paraId="7F1BAE13" w14:textId="733A53FF" w:rsidR="004F5BE1" w:rsidRDefault="004F5BE1" w:rsidP="00DE22E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הועדה ,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ממליץ למסור את הפעלת בית הספר לרשת עמל .</w:t>
      </w:r>
    </w:p>
    <w:p w14:paraId="1FB55779" w14:textId="402B37C1" w:rsidR="004F5BE1" w:rsidRDefault="004F5BE1" w:rsidP="00DE22E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שלושה חברים בעד מכללת סכנין</w:t>
      </w:r>
    </w:p>
    <w:p w14:paraId="5506C107" w14:textId="73AA3261" w:rsidR="004F5BE1" w:rsidRDefault="004F5BE1" w:rsidP="00DE22E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אחד בעד רשת עמל </w:t>
      </w:r>
    </w:p>
    <w:p w14:paraId="635B9817" w14:textId="11F3F72C" w:rsidR="004F5BE1" w:rsidRDefault="004F5BE1" w:rsidP="00DE22E9">
      <w:pPr>
        <w:jc w:val="both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רוב חברי הועדה ממליצים למסור את הפעלת בית הספר הרב תחומי של זרזיר לרשת מכללת סכנין .</w:t>
      </w:r>
    </w:p>
    <w:p w14:paraId="575E1A64" w14:textId="50274C23" w:rsidR="004F5BE1" w:rsidRDefault="004F5BE1" w:rsidP="00DE22E9">
      <w:pPr>
        <w:jc w:val="both"/>
        <w:rPr>
          <w:b/>
          <w:bCs/>
          <w:i/>
          <w:iCs/>
          <w:sz w:val="28"/>
          <w:szCs w:val="28"/>
          <w:u w:val="single"/>
          <w:rtl/>
        </w:rPr>
      </w:pPr>
    </w:p>
    <w:p w14:paraId="0EA0C471" w14:textId="671BA1AA" w:rsidR="004F5BE1" w:rsidRDefault="004F5BE1" w:rsidP="00DE22E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יו"ר הועדה , חבר המועצה מר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2A15F564" w14:textId="0DC3F67B" w:rsidR="004F5BE1" w:rsidRDefault="004F5BE1" w:rsidP="00DE22E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הועדה , מר פתחי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31D38F4C" w14:textId="34D217F5" w:rsidR="004F5BE1" w:rsidRDefault="004F5BE1" w:rsidP="00DE22E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חבר ה</w:t>
      </w:r>
      <w:r w:rsidR="00257A2B">
        <w:rPr>
          <w:rFonts w:hint="cs"/>
          <w:sz w:val="28"/>
          <w:szCs w:val="28"/>
          <w:rtl/>
        </w:rPr>
        <w:t xml:space="preserve">ועדה , מר יאסר </w:t>
      </w:r>
      <w:proofErr w:type="spellStart"/>
      <w:r w:rsidR="00257A2B">
        <w:rPr>
          <w:rFonts w:hint="cs"/>
          <w:sz w:val="28"/>
          <w:szCs w:val="28"/>
          <w:rtl/>
        </w:rPr>
        <w:t>היב</w:t>
      </w:r>
      <w:proofErr w:type="spellEnd"/>
    </w:p>
    <w:p w14:paraId="7AEDD49D" w14:textId="59A308B3" w:rsidR="00257A2B" w:rsidRDefault="00257A2B" w:rsidP="00DE22E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הועדה , מר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5E918EA5" w14:textId="111A450F" w:rsidR="00257A2B" w:rsidRDefault="00257A2B" w:rsidP="00DE22E9">
      <w:pPr>
        <w:jc w:val="both"/>
        <w:rPr>
          <w:sz w:val="28"/>
          <w:szCs w:val="28"/>
          <w:rtl/>
        </w:rPr>
      </w:pPr>
    </w:p>
    <w:p w14:paraId="37D80041" w14:textId="748E931B" w:rsidR="00257A2B" w:rsidRDefault="00257A2B" w:rsidP="00DE22E9">
      <w:pPr>
        <w:jc w:val="both"/>
        <w:rPr>
          <w:sz w:val="28"/>
          <w:szCs w:val="28"/>
          <w:rtl/>
        </w:rPr>
      </w:pPr>
    </w:p>
    <w:p w14:paraId="1CAE5651" w14:textId="67321D4B" w:rsidR="00257A2B" w:rsidRDefault="00257A2B" w:rsidP="00DE22E9">
      <w:pPr>
        <w:jc w:val="both"/>
        <w:rPr>
          <w:sz w:val="28"/>
          <w:szCs w:val="28"/>
          <w:rtl/>
        </w:rPr>
      </w:pPr>
    </w:p>
    <w:p w14:paraId="5AAF6010" w14:textId="77777777" w:rsidR="00257A2B" w:rsidRDefault="00257A2B" w:rsidP="00257A2B">
      <w:pPr>
        <w:jc w:val="right"/>
        <w:rPr>
          <w:sz w:val="28"/>
          <w:szCs w:val="28"/>
          <w:rtl/>
        </w:rPr>
      </w:pPr>
    </w:p>
    <w:p w14:paraId="089AA51C" w14:textId="55CAA882" w:rsidR="00257A2B" w:rsidRPr="00257A2B" w:rsidRDefault="00257A2B" w:rsidP="00257A2B">
      <w:pPr>
        <w:jc w:val="right"/>
        <w:rPr>
          <w:rtl/>
        </w:rPr>
      </w:pPr>
      <w:r w:rsidRPr="00257A2B">
        <w:rPr>
          <w:rFonts w:hint="cs"/>
          <w:rtl/>
        </w:rPr>
        <w:t xml:space="preserve">רשם : </w:t>
      </w:r>
      <w:proofErr w:type="spellStart"/>
      <w:r w:rsidRPr="00257A2B">
        <w:rPr>
          <w:rFonts w:hint="cs"/>
          <w:rtl/>
        </w:rPr>
        <w:t>אבראהים</w:t>
      </w:r>
      <w:proofErr w:type="spellEnd"/>
      <w:r w:rsidRPr="00257A2B">
        <w:rPr>
          <w:rFonts w:hint="cs"/>
          <w:rtl/>
        </w:rPr>
        <w:t xml:space="preserve"> </w:t>
      </w:r>
      <w:proofErr w:type="spellStart"/>
      <w:r w:rsidRPr="00257A2B">
        <w:rPr>
          <w:rFonts w:hint="cs"/>
          <w:rtl/>
        </w:rPr>
        <w:t>היב</w:t>
      </w:r>
      <w:proofErr w:type="spellEnd"/>
      <w:r w:rsidRPr="00257A2B">
        <w:rPr>
          <w:rFonts w:hint="cs"/>
          <w:rtl/>
        </w:rPr>
        <w:t xml:space="preserve"> , מנכ"ל המועצה </w:t>
      </w:r>
    </w:p>
    <w:p w14:paraId="3C8BC831" w14:textId="77777777" w:rsidR="002D6915" w:rsidRPr="004C2883" w:rsidRDefault="002D6915" w:rsidP="004C2883">
      <w:pPr>
        <w:rPr>
          <w:sz w:val="28"/>
          <w:szCs w:val="28"/>
        </w:rPr>
      </w:pPr>
    </w:p>
    <w:p w14:paraId="2D814EBF" w14:textId="77777777" w:rsidR="004C2883" w:rsidRPr="004C2883" w:rsidRDefault="004C2883">
      <w:pPr>
        <w:rPr>
          <w:b/>
          <w:bCs/>
          <w:i/>
          <w:iCs/>
          <w:sz w:val="28"/>
          <w:szCs w:val="28"/>
          <w:u w:val="single"/>
        </w:rPr>
      </w:pPr>
    </w:p>
    <w:sectPr w:rsidR="004C2883" w:rsidRPr="004C2883" w:rsidSect="004D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D42D" w14:textId="77777777" w:rsidR="000A7F7C" w:rsidRDefault="000A7F7C">
      <w:pPr>
        <w:spacing w:after="0" w:line="240" w:lineRule="auto"/>
      </w:pPr>
      <w:r>
        <w:separator/>
      </w:r>
    </w:p>
  </w:endnote>
  <w:endnote w:type="continuationSeparator" w:id="0">
    <w:p w14:paraId="267DF365" w14:textId="77777777" w:rsidR="000A7F7C" w:rsidRDefault="000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37DC" w14:textId="77777777" w:rsidR="001A15E6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4DE2" w14:textId="77777777" w:rsidR="001A15E6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D404" w14:textId="77777777" w:rsidR="001A15E6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6D76" w14:textId="77777777" w:rsidR="000A7F7C" w:rsidRDefault="000A7F7C">
      <w:pPr>
        <w:spacing w:after="0" w:line="240" w:lineRule="auto"/>
      </w:pPr>
      <w:r>
        <w:separator/>
      </w:r>
    </w:p>
  </w:footnote>
  <w:footnote w:type="continuationSeparator" w:id="0">
    <w:p w14:paraId="50BC921E" w14:textId="77777777" w:rsidR="000A7F7C" w:rsidRDefault="000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C679" w14:textId="77777777" w:rsidR="001A15E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692C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168B88FE" wp14:editId="02133F89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15FA7C60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45823BFA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3043BC24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31956E25" w14:textId="77777777" w:rsidR="001A15E6" w:rsidRDefault="00000000" w:rsidP="001A15E6">
    <w:pPr>
      <w:pStyle w:val="a3"/>
      <w:jc w:val="both"/>
      <w:rPr>
        <w:rtl/>
      </w:rPr>
    </w:pPr>
  </w:p>
  <w:p w14:paraId="4CAF5CB4" w14:textId="77777777" w:rsidR="001A15E6" w:rsidRDefault="00000000" w:rsidP="001A15E6">
    <w:pPr>
      <w:pStyle w:val="a3"/>
      <w:jc w:val="both"/>
    </w:pPr>
  </w:p>
  <w:p w14:paraId="7E84485E" w14:textId="77777777" w:rsidR="001A15E6" w:rsidRPr="001A15E6" w:rsidRDefault="00000000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B7D9" w14:textId="77777777" w:rsidR="001A15E6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45200"/>
    <w:multiLevelType w:val="hybridMultilevel"/>
    <w:tmpl w:val="FDFC56C2"/>
    <w:lvl w:ilvl="0" w:tplc="5B565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017563">
    <w:abstractNumId w:val="0"/>
  </w:num>
  <w:num w:numId="2" w16cid:durableId="1203176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0A7F7C"/>
    <w:rsid w:val="00122533"/>
    <w:rsid w:val="00230485"/>
    <w:rsid w:val="00257A2B"/>
    <w:rsid w:val="002D6915"/>
    <w:rsid w:val="003D29D9"/>
    <w:rsid w:val="004C2883"/>
    <w:rsid w:val="004D597D"/>
    <w:rsid w:val="004F5BE1"/>
    <w:rsid w:val="005C1A4E"/>
    <w:rsid w:val="006D2783"/>
    <w:rsid w:val="00971448"/>
    <w:rsid w:val="00AF62BF"/>
    <w:rsid w:val="00B52617"/>
    <w:rsid w:val="00B95962"/>
    <w:rsid w:val="00C2721F"/>
    <w:rsid w:val="00D05242"/>
    <w:rsid w:val="00DE22E9"/>
    <w:rsid w:val="00DE7198"/>
    <w:rsid w:val="00F952BE"/>
    <w:rsid w:val="00FC02FC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D9C3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6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4</Pages>
  <Words>544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Waiel Eyadat</cp:lastModifiedBy>
  <cp:revision>2</cp:revision>
  <dcterms:created xsi:type="dcterms:W3CDTF">2022-12-12T09:16:00Z</dcterms:created>
  <dcterms:modified xsi:type="dcterms:W3CDTF">2022-12-12T09:16:00Z</dcterms:modified>
</cp:coreProperties>
</file>